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71D365E" w:rsidR="00A160B2" w:rsidRDefault="00526A14" w:rsidP="006C3150">
            <w:pPr>
              <w:pStyle w:val="Infotext"/>
              <w:rPr>
                <w:rFonts w:cs="Arial"/>
              </w:rPr>
            </w:pPr>
            <w:r>
              <w:rPr>
                <w:rFonts w:cs="Arial"/>
              </w:rPr>
              <w:t>12 October</w:t>
            </w:r>
            <w:r w:rsidR="00B84A87">
              <w:rPr>
                <w:rFonts w:cs="Arial"/>
              </w:rPr>
              <w:t xml:space="preserve"> 202</w:t>
            </w:r>
            <w:r w:rsidR="0056613F">
              <w:rPr>
                <w:rFonts w:cs="Arial"/>
              </w:rPr>
              <w:t>2</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226B3B3E" w:rsidR="00A160B2" w:rsidRDefault="00B84A87" w:rsidP="006C3150">
            <w:pPr>
              <w:pStyle w:val="Infotext"/>
              <w:rPr>
                <w:rFonts w:cs="Arial"/>
              </w:rPr>
            </w:pPr>
            <w:r>
              <w:rPr>
                <w:rFonts w:cs="Arial"/>
              </w:rPr>
              <w:t>Draft Pension Fund A</w:t>
            </w:r>
            <w:r w:rsidR="00922249">
              <w:rPr>
                <w:rFonts w:cs="Arial"/>
              </w:rPr>
              <w:t>nnual Report</w:t>
            </w:r>
            <w:r>
              <w:rPr>
                <w:rFonts w:cs="Arial"/>
              </w:rPr>
              <w:t xml:space="preserve"> for 202</w:t>
            </w:r>
            <w:r w:rsidR="0056613F">
              <w:rPr>
                <w:rFonts w:cs="Arial"/>
              </w:rPr>
              <w:t>1</w:t>
            </w:r>
            <w:r>
              <w:rPr>
                <w:rFonts w:cs="Arial"/>
              </w:rPr>
              <w:t>-2</w:t>
            </w:r>
            <w:r w:rsidR="0056613F">
              <w:rPr>
                <w:rFonts w:cs="Arial"/>
              </w:rPr>
              <w:t>2</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B97F28" w:rsidR="00A160B2" w:rsidRDefault="00180D94" w:rsidP="006C3150">
            <w:pPr>
              <w:pStyle w:val="Infotext"/>
            </w:pPr>
            <w:r>
              <w:rPr>
                <w:b/>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5EB5AA9C" w14:textId="1D297BDA" w:rsidR="00FF2B1A" w:rsidRDefault="00E2344F" w:rsidP="00FF2B1A">
            <w:pPr>
              <w:pStyle w:val="Infotext"/>
              <w:tabs>
                <w:tab w:val="center" w:pos="2352"/>
              </w:tabs>
            </w:pPr>
            <w:r>
              <w:t xml:space="preserve">Appendix 1 – </w:t>
            </w:r>
            <w:r w:rsidR="00FF2B1A">
              <w:t xml:space="preserve">Audit Strategy Memorandum (Mazars) </w:t>
            </w:r>
          </w:p>
          <w:p w14:paraId="4C232B02" w14:textId="327FBF84" w:rsidR="00922249" w:rsidRDefault="00FF2B1A" w:rsidP="006C3150">
            <w:pPr>
              <w:pStyle w:val="Infotext"/>
            </w:pPr>
            <w:r>
              <w:t xml:space="preserve">Appendix – 2 </w:t>
            </w:r>
            <w:r w:rsidR="00E2344F">
              <w:t xml:space="preserve">Draft </w:t>
            </w:r>
            <w:r w:rsidR="00180D94">
              <w:t>P</w:t>
            </w:r>
            <w:r w:rsidR="00E2344F">
              <w:t xml:space="preserve">ension </w:t>
            </w:r>
            <w:r w:rsidR="00180D94">
              <w:t>F</w:t>
            </w:r>
            <w:r w:rsidR="00E2344F">
              <w:t>und A</w:t>
            </w:r>
            <w:r w:rsidR="00922249">
              <w:t>nnual report</w:t>
            </w:r>
            <w:r w:rsidR="00E2344F">
              <w:t xml:space="preserve"> </w:t>
            </w:r>
            <w:r w:rsidR="00180D94">
              <w:t xml:space="preserve">for </w:t>
            </w:r>
            <w:r w:rsidR="00E2344F">
              <w:t>202</w:t>
            </w:r>
            <w:r w:rsidR="0056613F">
              <w:t>1</w:t>
            </w:r>
            <w:r w:rsidR="00E2344F">
              <w:t>-2</w:t>
            </w:r>
            <w:r w:rsidR="0056613F">
              <w:t>2</w:t>
            </w: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41297458" w14:textId="0EB981B4" w:rsidR="00E2344F" w:rsidRPr="001E6E68" w:rsidRDefault="00E2344F" w:rsidP="00E2344F">
            <w:pPr>
              <w:jc w:val="both"/>
              <w:rPr>
                <w:rFonts w:cs="Arial"/>
                <w:szCs w:val="24"/>
              </w:rPr>
            </w:pPr>
            <w:r w:rsidRPr="001E6E68">
              <w:rPr>
                <w:rFonts w:cs="Arial"/>
                <w:szCs w:val="24"/>
                <w:lang w:eastAsia="en-GB"/>
              </w:rPr>
              <w:t xml:space="preserve">This report presents the draft </w:t>
            </w:r>
            <w:r w:rsidRPr="001E6E68">
              <w:rPr>
                <w:rFonts w:cs="Arial"/>
              </w:rPr>
              <w:t xml:space="preserve">Pension Fund </w:t>
            </w:r>
            <w:r w:rsidR="00922249">
              <w:rPr>
                <w:rFonts w:cs="Arial"/>
              </w:rPr>
              <w:t>Annual Report</w:t>
            </w:r>
            <w:r w:rsidRPr="001E6E68">
              <w:rPr>
                <w:rFonts w:cs="Arial"/>
              </w:rPr>
              <w:t xml:space="preserve"> for the year ended 31 March 20</w:t>
            </w:r>
            <w:r>
              <w:rPr>
                <w:rFonts w:cs="Arial"/>
              </w:rPr>
              <w:t>2</w:t>
            </w:r>
            <w:r w:rsidR="0056613F">
              <w:rPr>
                <w:rFonts w:cs="Arial"/>
              </w:rPr>
              <w:t>2</w:t>
            </w:r>
            <w:r w:rsidR="00922249">
              <w:rPr>
                <w:rFonts w:cs="Arial"/>
              </w:rPr>
              <w:t xml:space="preserve">, and the External Audit Plan </w:t>
            </w:r>
            <w:r w:rsidRPr="001E6E68">
              <w:rPr>
                <w:rFonts w:cs="Arial"/>
              </w:rPr>
              <w:t>on which the Committee’s comments are invited.</w:t>
            </w:r>
            <w:r w:rsidRPr="001E6E68">
              <w:rPr>
                <w:rFonts w:cs="Arial"/>
                <w:szCs w:val="24"/>
              </w:rPr>
              <w:t xml:space="preserve"> </w:t>
            </w:r>
            <w:r w:rsidR="00922249">
              <w:rPr>
                <w:rFonts w:cs="Arial"/>
                <w:szCs w:val="24"/>
              </w:rPr>
              <w:t>It will also update on progress with the 202</w:t>
            </w:r>
            <w:r w:rsidR="0056613F">
              <w:rPr>
                <w:rFonts w:cs="Arial"/>
                <w:szCs w:val="24"/>
              </w:rPr>
              <w:t>1-22</w:t>
            </w:r>
            <w:r w:rsidR="00922249">
              <w:rPr>
                <w:rFonts w:cs="Arial"/>
                <w:szCs w:val="24"/>
              </w:rPr>
              <w:t xml:space="preserve"> audit.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2532CFD3" w:rsidR="00A160B2" w:rsidRDefault="00E2344F" w:rsidP="00E2344F">
            <w:r>
              <w:t xml:space="preserve">The Committee is </w:t>
            </w:r>
            <w:r w:rsidRPr="00611378">
              <w:rPr>
                <w:b/>
                <w:bCs/>
              </w:rPr>
              <w:t>recommended</w:t>
            </w:r>
            <w:r>
              <w:t xml:space="preserve"> </w:t>
            </w:r>
            <w:r w:rsidR="00922249">
              <w:t>to approve the draft Pension Fund Annual R</w:t>
            </w:r>
            <w:r>
              <w:t xml:space="preserve">eport </w:t>
            </w:r>
            <w:r w:rsidR="00922249">
              <w:t xml:space="preserve">for </w:t>
            </w:r>
            <w:r w:rsidR="0056613F">
              <w:t>2021-22</w:t>
            </w:r>
            <w:r w:rsidR="00922249">
              <w:t xml:space="preserve"> for publication and </w:t>
            </w:r>
            <w:r w:rsidR="003737C1">
              <w:t xml:space="preserve">to </w:t>
            </w:r>
            <w:r w:rsidR="00922249">
              <w:t xml:space="preserve">authorise the Director of Finance and </w:t>
            </w:r>
            <w:r w:rsidR="003737C1">
              <w:t>A</w:t>
            </w:r>
            <w:r w:rsidR="00922249">
              <w:t xml:space="preserve">ssurance to </w:t>
            </w:r>
            <w:r w:rsidR="003737C1">
              <w:t>make</w:t>
            </w:r>
            <w:r w:rsidR="00922249">
              <w:t xml:space="preserve"> any changes arising from the audit of accounts</w:t>
            </w:r>
            <w:r w:rsidR="003737C1">
              <w:t xml:space="preserve"> before publication</w:t>
            </w:r>
            <w:r w:rsidR="00922249">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6DA4DBEC" w14:textId="57F2247D" w:rsidR="0056613F" w:rsidRDefault="0056613F" w:rsidP="00E2344F">
      <w:pPr>
        <w:numPr>
          <w:ilvl w:val="0"/>
          <w:numId w:val="16"/>
        </w:numPr>
        <w:tabs>
          <w:tab w:val="clear" w:pos="584"/>
          <w:tab w:val="num" w:pos="284"/>
        </w:tabs>
        <w:ind w:left="284" w:hanging="284"/>
        <w:jc w:val="both"/>
      </w:pPr>
      <w:bookmarkStart w:id="0" w:name="_Hlk74148209"/>
      <w:r>
        <w:t xml:space="preserve">The Accounts and Audit (England) Regulations 2015, require Local Authorities to prepare Statement of Accounts in accordance with proper practices. Previous timetable deadlines have meant that the draft Statement </w:t>
      </w:r>
      <w:r>
        <w:lastRenderedPageBreak/>
        <w:t xml:space="preserve">of Accounts must be published by 31st May with the audited version being published by 31st July each year. </w:t>
      </w:r>
    </w:p>
    <w:p w14:paraId="7F6EB7DB" w14:textId="77777777" w:rsidR="0056613F" w:rsidRDefault="0056613F" w:rsidP="0056613F">
      <w:pPr>
        <w:ind w:left="284"/>
        <w:jc w:val="both"/>
      </w:pPr>
    </w:p>
    <w:p w14:paraId="35B53D2A" w14:textId="3E71B026" w:rsidR="0056613F" w:rsidRDefault="0056613F" w:rsidP="00E2344F">
      <w:pPr>
        <w:numPr>
          <w:ilvl w:val="0"/>
          <w:numId w:val="16"/>
        </w:numPr>
        <w:tabs>
          <w:tab w:val="clear" w:pos="584"/>
          <w:tab w:val="num" w:pos="284"/>
        </w:tabs>
        <w:ind w:left="284" w:hanging="284"/>
        <w:jc w:val="both"/>
      </w:pPr>
      <w:r>
        <w:t xml:space="preserve">Following the Coronavirus </w:t>
      </w:r>
      <w:proofErr w:type="gramStart"/>
      <w:r>
        <w:t>pandemic</w:t>
      </w:r>
      <w:proofErr w:type="gramEnd"/>
      <w:r>
        <w:t xml:space="preserve"> the legislative requirements </w:t>
      </w:r>
      <w:r w:rsidR="00611378">
        <w:t>were</w:t>
      </w:r>
      <w:r>
        <w:t xml:space="preserve"> relaxed and this has continued for 2021-22. The Accounts and Audit (Amendment) Regulations 2021 (SI 2021/263) revised the deadlines to 31st July 2022 for the draft accounts and 30th November 2022 for the audited accounts.</w:t>
      </w:r>
    </w:p>
    <w:p w14:paraId="728FB2CA" w14:textId="77777777" w:rsidR="0056613F" w:rsidRDefault="0056613F" w:rsidP="0056613F">
      <w:pPr>
        <w:pStyle w:val="ListParagraph"/>
      </w:pPr>
    </w:p>
    <w:p w14:paraId="3114B3C4" w14:textId="0E332C50" w:rsidR="007808A7" w:rsidRPr="007808A7" w:rsidRDefault="002B62F0" w:rsidP="00E2344F">
      <w:pPr>
        <w:numPr>
          <w:ilvl w:val="0"/>
          <w:numId w:val="16"/>
        </w:numPr>
        <w:tabs>
          <w:tab w:val="clear" w:pos="584"/>
          <w:tab w:val="num" w:pos="284"/>
        </w:tabs>
        <w:ind w:left="284" w:hanging="284"/>
        <w:jc w:val="both"/>
      </w:pPr>
      <w:r>
        <w:t xml:space="preserve">The audit </w:t>
      </w:r>
      <w:r w:rsidR="00FF2B1A">
        <w:t xml:space="preserve">is </w:t>
      </w:r>
      <w:r w:rsidR="007808A7" w:rsidRPr="007808A7">
        <w:t>again be</w:t>
      </w:r>
      <w:r w:rsidR="00FF2B1A">
        <w:t>ing</w:t>
      </w:r>
      <w:r w:rsidR="007808A7" w:rsidRPr="007808A7">
        <w:t xml:space="preserve"> carried out by Mazars.</w:t>
      </w:r>
      <w:r w:rsidR="00FF2B1A">
        <w:t xml:space="preserve"> Their “Audit Strategy Memorandum”, which sets out their plan for carrying out the audit</w:t>
      </w:r>
      <w:r w:rsidR="00611378">
        <w:t xml:space="preserve"> of the Pension Fund Accounts </w:t>
      </w:r>
      <w:r w:rsidR="00FF2B1A">
        <w:t xml:space="preserve">is enclosed as </w:t>
      </w:r>
      <w:r w:rsidR="000A3631" w:rsidRPr="000A3631">
        <w:rPr>
          <w:b/>
          <w:bCs/>
        </w:rPr>
        <w:t>A</w:t>
      </w:r>
      <w:r w:rsidR="00FF2B1A" w:rsidRPr="000A3631">
        <w:rPr>
          <w:b/>
          <w:bCs/>
        </w:rPr>
        <w:t>ppendix 1.</w:t>
      </w:r>
      <w:r w:rsidR="00FF2B1A">
        <w:t xml:space="preserve"> This was considered by the GARMS Committee on </w:t>
      </w:r>
      <w:r w:rsidR="0056613F">
        <w:t>2 August 2022</w:t>
      </w:r>
      <w:r w:rsidR="00FF2B1A">
        <w:t>.</w:t>
      </w:r>
    </w:p>
    <w:p w14:paraId="77034469" w14:textId="77777777" w:rsidR="007808A7" w:rsidRDefault="007808A7" w:rsidP="007808A7">
      <w:pPr>
        <w:ind w:left="284"/>
        <w:jc w:val="both"/>
      </w:pPr>
    </w:p>
    <w:p w14:paraId="62247166" w14:textId="3764F241" w:rsidR="005F61BC" w:rsidRPr="005F61BC" w:rsidRDefault="005F61BC" w:rsidP="002B62F0">
      <w:pPr>
        <w:numPr>
          <w:ilvl w:val="0"/>
          <w:numId w:val="16"/>
        </w:numPr>
        <w:tabs>
          <w:tab w:val="clear" w:pos="584"/>
        </w:tabs>
        <w:ind w:left="284" w:hanging="284"/>
        <w:jc w:val="both"/>
      </w:pPr>
      <w:r w:rsidRPr="005F61BC">
        <w:t xml:space="preserve">The </w:t>
      </w:r>
      <w:r w:rsidR="00FF2B1A">
        <w:t>audited</w:t>
      </w:r>
      <w:r w:rsidRPr="005F61BC">
        <w:t xml:space="preserve"> Pension Fund Annual </w:t>
      </w:r>
      <w:r w:rsidR="0056613F">
        <w:t>R</w:t>
      </w:r>
      <w:r w:rsidRPr="005F61BC">
        <w:t>eport is required to be published by 1 December 202</w:t>
      </w:r>
      <w:r w:rsidR="0056613F">
        <w:t>2</w:t>
      </w:r>
      <w:r w:rsidRPr="005F61BC">
        <w:t xml:space="preserve"> – this requirement has not changed</w:t>
      </w:r>
      <w:r>
        <w:t>. The draft an</w:t>
      </w:r>
      <w:r w:rsidR="00180D94">
        <w:t xml:space="preserve">nual report </w:t>
      </w:r>
      <w:r w:rsidR="0056613F">
        <w:t xml:space="preserve">(which contains the 2021-22 Pension Fund Accounts) </w:t>
      </w:r>
      <w:r w:rsidR="00C05E9C">
        <w:t xml:space="preserve">is </w:t>
      </w:r>
      <w:r w:rsidR="00FF2B1A">
        <w:t xml:space="preserve">enclosed as </w:t>
      </w:r>
      <w:r w:rsidR="00FF2B1A" w:rsidRPr="000A3631">
        <w:rPr>
          <w:b/>
          <w:bCs/>
        </w:rPr>
        <w:t>Appendix 2</w:t>
      </w:r>
      <w:r w:rsidR="00180D94">
        <w:t>.</w:t>
      </w:r>
    </w:p>
    <w:p w14:paraId="6131146C" w14:textId="77777777" w:rsidR="002B62F0" w:rsidRDefault="002B62F0" w:rsidP="002B62F0">
      <w:pPr>
        <w:pStyle w:val="ListParagraph"/>
      </w:pPr>
    </w:p>
    <w:p w14:paraId="097EA572" w14:textId="40FABE5F" w:rsidR="00BE0F0E" w:rsidRDefault="00FF2B1A" w:rsidP="00BE0F0E">
      <w:pPr>
        <w:numPr>
          <w:ilvl w:val="0"/>
          <w:numId w:val="16"/>
        </w:numPr>
        <w:tabs>
          <w:tab w:val="clear" w:pos="584"/>
        </w:tabs>
        <w:ind w:left="284" w:hanging="284"/>
        <w:jc w:val="both"/>
      </w:pPr>
      <w:r w:rsidRPr="0056613F">
        <w:t xml:space="preserve">The audit of accounts </w:t>
      </w:r>
      <w:r w:rsidR="002A68FF" w:rsidRPr="0056613F">
        <w:t xml:space="preserve">is in progress, and the outcome </w:t>
      </w:r>
      <w:r w:rsidRPr="0056613F">
        <w:t xml:space="preserve">will be reported to the Committee’s next meeting on </w:t>
      </w:r>
      <w:r w:rsidR="0056613F" w:rsidRPr="0056613F">
        <w:t>23 November 2022</w:t>
      </w:r>
      <w:r w:rsidR="00BE0F0E">
        <w:t xml:space="preserve">, together with the audited Annual report for approval. </w:t>
      </w:r>
      <w:bookmarkEnd w:id="0"/>
    </w:p>
    <w:p w14:paraId="062BF879" w14:textId="77777777" w:rsidR="00BE0F0E" w:rsidRDefault="00BE0F0E" w:rsidP="00BE0F0E">
      <w:pPr>
        <w:pStyle w:val="ListParagraph"/>
      </w:pPr>
    </w:p>
    <w:p w14:paraId="33C63E55" w14:textId="77777777" w:rsidR="00BE0F0E" w:rsidRPr="002F0E81" w:rsidRDefault="00BE0F0E" w:rsidP="00BE0F0E">
      <w:pPr>
        <w:numPr>
          <w:ilvl w:val="0"/>
          <w:numId w:val="16"/>
        </w:numPr>
        <w:tabs>
          <w:tab w:val="clear" w:pos="584"/>
          <w:tab w:val="num" w:pos="284"/>
        </w:tabs>
        <w:ind w:left="284" w:hanging="284"/>
        <w:rPr>
          <w:rFonts w:cs="Arial"/>
          <w:bCs/>
          <w:szCs w:val="24"/>
        </w:rPr>
      </w:pPr>
      <w:r w:rsidRPr="002F0E81">
        <w:rPr>
          <w:rFonts w:cs="Arial"/>
          <w:bCs/>
          <w:szCs w:val="24"/>
        </w:rPr>
        <w:t>To assist in the Committee’s consideration of this matter they are advised of the following key points:</w:t>
      </w:r>
    </w:p>
    <w:p w14:paraId="57521B38" w14:textId="77777777" w:rsidR="00BE0F0E" w:rsidRPr="00B26886" w:rsidRDefault="00BE0F0E" w:rsidP="00BE0F0E">
      <w:pPr>
        <w:jc w:val="both"/>
        <w:rPr>
          <w:rFonts w:cs="Arial"/>
          <w:bCs/>
          <w:szCs w:val="24"/>
          <w:highlight w:val="yellow"/>
        </w:rPr>
      </w:pPr>
    </w:p>
    <w:p w14:paraId="03EB131B" w14:textId="77777777" w:rsidR="00BE0F0E" w:rsidRPr="00F22AA0" w:rsidRDefault="00BE0F0E" w:rsidP="00BE0F0E">
      <w:pPr>
        <w:pStyle w:val="ListParagraph"/>
        <w:numPr>
          <w:ilvl w:val="0"/>
          <w:numId w:val="17"/>
        </w:numPr>
        <w:jc w:val="both"/>
        <w:rPr>
          <w:bCs/>
          <w:sz w:val="24"/>
          <w:szCs w:val="24"/>
          <w:u w:val="single"/>
        </w:rPr>
      </w:pPr>
      <w:r>
        <w:rPr>
          <w:bCs/>
          <w:sz w:val="24"/>
          <w:szCs w:val="24"/>
          <w:u w:val="single"/>
        </w:rPr>
        <w:t>Fund Revenue Account</w:t>
      </w:r>
    </w:p>
    <w:p w14:paraId="6C48AB87" w14:textId="77777777" w:rsidR="00BE0F0E" w:rsidRPr="00B26886" w:rsidRDefault="00BE0F0E" w:rsidP="00BE0F0E">
      <w:pPr>
        <w:jc w:val="both"/>
        <w:rPr>
          <w:rFonts w:cs="Arial"/>
          <w:bCs/>
          <w:szCs w:val="24"/>
          <w:highlight w:val="yellow"/>
          <w:u w:val="single"/>
        </w:rPr>
      </w:pPr>
    </w:p>
    <w:p w14:paraId="3AE94724" w14:textId="02205FEF" w:rsidR="00BE0F0E" w:rsidRPr="00F22AA0" w:rsidRDefault="00BE0F0E" w:rsidP="00BE0F0E">
      <w:pPr>
        <w:ind w:left="720"/>
        <w:rPr>
          <w:rFonts w:cs="Arial"/>
          <w:bCs/>
          <w:szCs w:val="24"/>
        </w:rPr>
      </w:pPr>
      <w:r w:rsidRPr="00F22AA0">
        <w:rPr>
          <w:rFonts w:cs="Arial"/>
          <w:bCs/>
          <w:szCs w:val="24"/>
        </w:rPr>
        <w:t>During the year</w:t>
      </w:r>
      <w:r>
        <w:rPr>
          <w:rFonts w:cs="Arial"/>
          <w:bCs/>
          <w:szCs w:val="24"/>
        </w:rPr>
        <w:t xml:space="preserve"> 2021-22,</w:t>
      </w:r>
      <w:r w:rsidRPr="00F22AA0">
        <w:rPr>
          <w:rFonts w:cs="Arial"/>
          <w:bCs/>
          <w:szCs w:val="24"/>
        </w:rPr>
        <w:t xml:space="preserve"> the net assets of the Fund </w:t>
      </w:r>
      <w:r>
        <w:rPr>
          <w:rFonts w:cs="Arial"/>
          <w:bCs/>
          <w:szCs w:val="24"/>
        </w:rPr>
        <w:t>in</w:t>
      </w:r>
      <w:r w:rsidRPr="00F22AA0">
        <w:rPr>
          <w:rFonts w:cs="Arial"/>
          <w:bCs/>
          <w:szCs w:val="24"/>
        </w:rPr>
        <w:t>creased from £</w:t>
      </w:r>
      <w:r>
        <w:rPr>
          <w:rFonts w:cs="Arial"/>
          <w:bCs/>
          <w:szCs w:val="24"/>
        </w:rPr>
        <w:t>968</w:t>
      </w:r>
      <w:r w:rsidRPr="00F22AA0">
        <w:rPr>
          <w:rFonts w:cs="Arial"/>
          <w:bCs/>
          <w:szCs w:val="24"/>
        </w:rPr>
        <w:t>m to £</w:t>
      </w:r>
      <w:r>
        <w:rPr>
          <w:rFonts w:cs="Arial"/>
          <w:bCs/>
          <w:szCs w:val="24"/>
        </w:rPr>
        <w:t>1,018</w:t>
      </w:r>
      <w:r w:rsidRPr="00F22AA0">
        <w:rPr>
          <w:rFonts w:cs="Arial"/>
          <w:bCs/>
          <w:szCs w:val="24"/>
        </w:rPr>
        <w:t>m. This reflect</w:t>
      </w:r>
      <w:r w:rsidR="00611378">
        <w:rPr>
          <w:rFonts w:cs="Arial"/>
          <w:bCs/>
          <w:szCs w:val="24"/>
        </w:rPr>
        <w:t>ed</w:t>
      </w:r>
      <w:r w:rsidRPr="00F22AA0">
        <w:rPr>
          <w:rFonts w:cs="Arial"/>
          <w:bCs/>
          <w:szCs w:val="24"/>
        </w:rPr>
        <w:t xml:space="preserve"> the</w:t>
      </w:r>
      <w:r>
        <w:rPr>
          <w:rFonts w:cs="Arial"/>
          <w:bCs/>
          <w:szCs w:val="24"/>
        </w:rPr>
        <w:t xml:space="preserve"> continued buoyancy of investment markets in 2022, although markets did fall back during the final quarter of the year.</w:t>
      </w:r>
    </w:p>
    <w:p w14:paraId="225AF58A" w14:textId="77777777" w:rsidR="00BE0F0E" w:rsidRPr="00B26886" w:rsidRDefault="00BE0F0E" w:rsidP="00BE0F0E">
      <w:pPr>
        <w:rPr>
          <w:rFonts w:cs="Arial"/>
          <w:bCs/>
          <w:szCs w:val="24"/>
          <w:highlight w:val="yellow"/>
        </w:rPr>
      </w:pPr>
    </w:p>
    <w:p w14:paraId="168A7139" w14:textId="77777777" w:rsidR="00BE0F0E" w:rsidRPr="00F22AA0" w:rsidRDefault="00BE0F0E" w:rsidP="00BE0F0E">
      <w:pPr>
        <w:pStyle w:val="ListParagraph"/>
        <w:numPr>
          <w:ilvl w:val="0"/>
          <w:numId w:val="17"/>
        </w:numPr>
        <w:jc w:val="both"/>
        <w:rPr>
          <w:bCs/>
          <w:sz w:val="24"/>
          <w:szCs w:val="24"/>
        </w:rPr>
      </w:pPr>
      <w:r w:rsidRPr="00F22AA0">
        <w:rPr>
          <w:bCs/>
          <w:sz w:val="24"/>
          <w:szCs w:val="24"/>
        </w:rPr>
        <w:t>The Harrow annual return performance has been as follows:</w:t>
      </w:r>
    </w:p>
    <w:p w14:paraId="58265320" w14:textId="77777777" w:rsidR="00BE0F0E" w:rsidRPr="00B26886" w:rsidRDefault="00BE0F0E" w:rsidP="00BE0F0E">
      <w:pPr>
        <w:jc w:val="both"/>
        <w:rPr>
          <w:rFonts w:cs="Arial"/>
          <w:bCs/>
          <w:szCs w:val="24"/>
          <w:highlight w:val="yellow"/>
        </w:rPr>
      </w:pPr>
    </w:p>
    <w:p w14:paraId="514FCE09" w14:textId="77777777" w:rsidR="00BE0F0E" w:rsidRPr="006F6D50" w:rsidRDefault="00BE0F0E" w:rsidP="00BE0F0E">
      <w:pPr>
        <w:jc w:val="both"/>
        <w:rPr>
          <w:rFonts w:cs="Arial"/>
          <w:bCs/>
          <w:szCs w:val="24"/>
        </w:rPr>
      </w:pPr>
      <w:r w:rsidRPr="006F6D50">
        <w:rPr>
          <w:rFonts w:cs="Arial"/>
          <w:bCs/>
          <w:szCs w:val="24"/>
        </w:rPr>
        <w:t xml:space="preserve">                                            Annual Performance (</w:t>
      </w:r>
      <w:proofErr w:type="gramStart"/>
      <w:r w:rsidRPr="006F6D50">
        <w:rPr>
          <w:rFonts w:cs="Arial"/>
          <w:bCs/>
          <w:szCs w:val="24"/>
        </w:rPr>
        <w:t xml:space="preserve">%)   </w:t>
      </w:r>
      <w:proofErr w:type="gramEnd"/>
      <w:r w:rsidRPr="006F6D50">
        <w:rPr>
          <w:rFonts w:cs="Arial"/>
          <w:bCs/>
          <w:szCs w:val="24"/>
        </w:rPr>
        <w:t xml:space="preserve">      Benchmark (%)</w:t>
      </w:r>
    </w:p>
    <w:p w14:paraId="7DA0202F" w14:textId="77777777" w:rsidR="00BE0F0E" w:rsidRPr="006F6D50" w:rsidRDefault="00BE0F0E" w:rsidP="00BE0F0E">
      <w:pPr>
        <w:jc w:val="both"/>
        <w:rPr>
          <w:rFonts w:cs="Arial"/>
          <w:bCs/>
          <w:szCs w:val="24"/>
        </w:rPr>
      </w:pPr>
    </w:p>
    <w:p w14:paraId="02FFA104" w14:textId="6BA36669" w:rsidR="00BE0F0E" w:rsidRPr="006F6D50" w:rsidRDefault="00BE0F0E" w:rsidP="00BE0F0E">
      <w:pPr>
        <w:jc w:val="both"/>
        <w:rPr>
          <w:rFonts w:cs="Arial"/>
          <w:bCs/>
          <w:szCs w:val="24"/>
        </w:rPr>
      </w:pPr>
      <w:r w:rsidRPr="006F6D50">
        <w:rPr>
          <w:rFonts w:cs="Arial"/>
          <w:bCs/>
          <w:szCs w:val="24"/>
        </w:rPr>
        <w:t xml:space="preserve">           1 year                                     </w:t>
      </w:r>
      <w:r>
        <w:rPr>
          <w:rFonts w:cs="Arial"/>
          <w:bCs/>
          <w:szCs w:val="24"/>
        </w:rPr>
        <w:t xml:space="preserve">  5.7</w:t>
      </w:r>
      <w:r w:rsidRPr="006F6D50">
        <w:rPr>
          <w:rFonts w:cs="Arial"/>
          <w:bCs/>
          <w:szCs w:val="24"/>
        </w:rPr>
        <w:t xml:space="preserve">                                    </w:t>
      </w:r>
      <w:r>
        <w:rPr>
          <w:rFonts w:cs="Arial"/>
          <w:bCs/>
          <w:szCs w:val="24"/>
        </w:rPr>
        <w:t xml:space="preserve">  6.6</w:t>
      </w:r>
    </w:p>
    <w:p w14:paraId="23D0C656" w14:textId="75D543A1" w:rsidR="00BE0F0E" w:rsidRPr="006F6D50" w:rsidRDefault="00BE0F0E" w:rsidP="00BE0F0E">
      <w:pPr>
        <w:jc w:val="both"/>
        <w:rPr>
          <w:rFonts w:cs="Arial"/>
          <w:bCs/>
          <w:szCs w:val="24"/>
        </w:rPr>
      </w:pPr>
      <w:r w:rsidRPr="006F6D50">
        <w:rPr>
          <w:rFonts w:cs="Arial"/>
          <w:bCs/>
          <w:szCs w:val="24"/>
        </w:rPr>
        <w:t xml:space="preserve">           3 years                                     6.</w:t>
      </w:r>
      <w:r>
        <w:rPr>
          <w:rFonts w:cs="Arial"/>
          <w:bCs/>
          <w:szCs w:val="24"/>
        </w:rPr>
        <w:t>6</w:t>
      </w:r>
      <w:r w:rsidRPr="006F6D50">
        <w:rPr>
          <w:rFonts w:cs="Arial"/>
          <w:bCs/>
          <w:szCs w:val="24"/>
        </w:rPr>
        <w:t xml:space="preserve">                                      8.5</w:t>
      </w:r>
    </w:p>
    <w:p w14:paraId="1B558758" w14:textId="60CDC1DD" w:rsidR="00BE0F0E" w:rsidRPr="006F6D50" w:rsidRDefault="00BE0F0E" w:rsidP="00BE0F0E">
      <w:pPr>
        <w:jc w:val="both"/>
        <w:rPr>
          <w:rFonts w:cs="Arial"/>
          <w:bCs/>
          <w:szCs w:val="24"/>
        </w:rPr>
      </w:pPr>
      <w:r w:rsidRPr="006F6D50">
        <w:rPr>
          <w:rFonts w:cs="Arial"/>
          <w:bCs/>
          <w:szCs w:val="24"/>
        </w:rPr>
        <w:t xml:space="preserve">           5 years                                     </w:t>
      </w:r>
      <w:r>
        <w:rPr>
          <w:rFonts w:cs="Arial"/>
          <w:bCs/>
          <w:szCs w:val="24"/>
        </w:rPr>
        <w:t>6.0</w:t>
      </w:r>
      <w:r w:rsidRPr="006F6D50">
        <w:rPr>
          <w:rFonts w:cs="Arial"/>
          <w:bCs/>
          <w:szCs w:val="24"/>
        </w:rPr>
        <w:t xml:space="preserve">                                    </w:t>
      </w:r>
      <w:r>
        <w:rPr>
          <w:rFonts w:cs="Arial"/>
          <w:bCs/>
          <w:szCs w:val="24"/>
        </w:rPr>
        <w:t xml:space="preserve">  7.9</w:t>
      </w:r>
    </w:p>
    <w:p w14:paraId="3B360AFE" w14:textId="77777777" w:rsidR="00BE0F0E" w:rsidRDefault="00BE0F0E" w:rsidP="00BE0F0E">
      <w:pPr>
        <w:jc w:val="both"/>
        <w:rPr>
          <w:rFonts w:cs="Arial"/>
          <w:bCs/>
          <w:szCs w:val="24"/>
          <w:highlight w:val="yellow"/>
          <w:u w:val="single"/>
        </w:rPr>
      </w:pPr>
    </w:p>
    <w:p w14:paraId="23508BD1" w14:textId="45F260F4" w:rsidR="00BE0F0E" w:rsidRDefault="00BE0F0E" w:rsidP="00BE0F0E">
      <w:pPr>
        <w:ind w:left="720"/>
        <w:jc w:val="both"/>
        <w:rPr>
          <w:rFonts w:cs="Arial"/>
          <w:bCs/>
          <w:szCs w:val="24"/>
        </w:rPr>
      </w:pPr>
      <w:r w:rsidRPr="006F6D50">
        <w:rPr>
          <w:rFonts w:cs="Arial"/>
          <w:bCs/>
          <w:szCs w:val="24"/>
        </w:rPr>
        <w:t xml:space="preserve">The </w:t>
      </w:r>
      <w:r w:rsidR="00690BAC">
        <w:rPr>
          <w:rFonts w:cs="Arial"/>
          <w:bCs/>
          <w:szCs w:val="24"/>
        </w:rPr>
        <w:t>fund’s underperformance against its benchmark return in all periods largely results from the poor performance of some of its investment managers. The Fund has taken steps to address this during 2021 and 2022, replacing two of its equity managers in that time.</w:t>
      </w:r>
    </w:p>
    <w:p w14:paraId="7E7E4801" w14:textId="0D76D378" w:rsidR="00690BAC" w:rsidRDefault="00690BAC" w:rsidP="00BE0F0E">
      <w:pPr>
        <w:ind w:left="720"/>
        <w:jc w:val="both"/>
        <w:rPr>
          <w:rFonts w:cs="Arial"/>
          <w:bCs/>
          <w:szCs w:val="24"/>
        </w:rPr>
      </w:pPr>
    </w:p>
    <w:p w14:paraId="229B5ED7" w14:textId="3D921315" w:rsidR="00690BAC" w:rsidRDefault="00690BAC" w:rsidP="00BE0F0E">
      <w:pPr>
        <w:ind w:left="720"/>
        <w:jc w:val="both"/>
        <w:rPr>
          <w:rFonts w:cs="Arial"/>
          <w:bCs/>
          <w:szCs w:val="24"/>
        </w:rPr>
      </w:pPr>
    </w:p>
    <w:p w14:paraId="27F2D037" w14:textId="292AA1AD" w:rsidR="00690BAC" w:rsidRDefault="00690BAC" w:rsidP="00BE0F0E">
      <w:pPr>
        <w:ind w:left="720"/>
        <w:jc w:val="both"/>
        <w:rPr>
          <w:rFonts w:cs="Arial"/>
          <w:bCs/>
          <w:szCs w:val="24"/>
        </w:rPr>
      </w:pPr>
    </w:p>
    <w:p w14:paraId="63893F90" w14:textId="23586FB9" w:rsidR="00690BAC" w:rsidRDefault="00690BAC" w:rsidP="00BE0F0E">
      <w:pPr>
        <w:ind w:left="720"/>
        <w:jc w:val="both"/>
        <w:rPr>
          <w:rFonts w:cs="Arial"/>
          <w:bCs/>
          <w:szCs w:val="24"/>
        </w:rPr>
      </w:pPr>
    </w:p>
    <w:p w14:paraId="12C2E214" w14:textId="5967D2E2" w:rsidR="00690BAC" w:rsidRDefault="00690BAC" w:rsidP="00BE0F0E">
      <w:pPr>
        <w:ind w:left="720"/>
        <w:jc w:val="both"/>
        <w:rPr>
          <w:rFonts w:cs="Arial"/>
          <w:bCs/>
          <w:szCs w:val="24"/>
        </w:rPr>
      </w:pPr>
    </w:p>
    <w:p w14:paraId="7F121C16" w14:textId="74CC7F16" w:rsidR="00690BAC" w:rsidRDefault="00690BAC" w:rsidP="00BE0F0E">
      <w:pPr>
        <w:ind w:left="720"/>
        <w:jc w:val="both"/>
        <w:rPr>
          <w:rFonts w:cs="Arial"/>
          <w:bCs/>
          <w:szCs w:val="24"/>
        </w:rPr>
      </w:pPr>
    </w:p>
    <w:p w14:paraId="64345C03" w14:textId="77777777" w:rsidR="00690BAC" w:rsidRDefault="00690BAC" w:rsidP="00BE0F0E">
      <w:pPr>
        <w:ind w:left="720"/>
        <w:jc w:val="both"/>
        <w:rPr>
          <w:rFonts w:cs="Arial"/>
          <w:bCs/>
          <w:szCs w:val="24"/>
          <w:highlight w:val="yellow"/>
          <w:u w:val="single"/>
        </w:rPr>
      </w:pPr>
    </w:p>
    <w:p w14:paraId="641086B9" w14:textId="77777777" w:rsidR="00BE0F0E" w:rsidRPr="00B26886" w:rsidRDefault="00BE0F0E" w:rsidP="00BE0F0E">
      <w:pPr>
        <w:ind w:left="720"/>
        <w:jc w:val="both"/>
        <w:rPr>
          <w:rFonts w:cs="Arial"/>
          <w:bCs/>
          <w:szCs w:val="24"/>
          <w:highlight w:val="yellow"/>
          <w:u w:val="single"/>
        </w:rPr>
      </w:pPr>
    </w:p>
    <w:p w14:paraId="690D5114" w14:textId="62FEC0FE" w:rsidR="00BE0F0E" w:rsidRPr="00F22AA0" w:rsidRDefault="00BE0F0E" w:rsidP="00BE0F0E">
      <w:pPr>
        <w:pStyle w:val="ListParagraph"/>
        <w:numPr>
          <w:ilvl w:val="0"/>
          <w:numId w:val="17"/>
        </w:numPr>
        <w:jc w:val="both"/>
        <w:rPr>
          <w:bCs/>
          <w:szCs w:val="24"/>
          <w:u w:val="single"/>
        </w:rPr>
      </w:pPr>
      <w:r w:rsidRPr="00F22AA0">
        <w:rPr>
          <w:bCs/>
          <w:sz w:val="24"/>
          <w:szCs w:val="24"/>
          <w:u w:val="single"/>
        </w:rPr>
        <w:lastRenderedPageBreak/>
        <w:t>Accounts for year ended 31 March 202</w:t>
      </w:r>
      <w:r w:rsidR="00690BAC">
        <w:rPr>
          <w:bCs/>
          <w:sz w:val="24"/>
          <w:szCs w:val="24"/>
          <w:u w:val="single"/>
        </w:rPr>
        <w:t>2</w:t>
      </w:r>
      <w:r w:rsidRPr="00F22AA0">
        <w:rPr>
          <w:bCs/>
          <w:sz w:val="24"/>
          <w:szCs w:val="24"/>
          <w:u w:val="single"/>
        </w:rPr>
        <w:t xml:space="preserve"> </w:t>
      </w:r>
    </w:p>
    <w:p w14:paraId="3EEC5F5B" w14:textId="77777777" w:rsidR="00BE0F0E" w:rsidRPr="00F22AA0" w:rsidRDefault="00BE0F0E" w:rsidP="00BE0F0E">
      <w:pPr>
        <w:jc w:val="both"/>
        <w:rPr>
          <w:rFonts w:cs="Arial"/>
          <w:bCs/>
          <w:szCs w:val="24"/>
        </w:rPr>
      </w:pPr>
      <w:r w:rsidRPr="00F22AA0">
        <w:rPr>
          <w:rFonts w:cs="Arial"/>
          <w:bCs/>
          <w:szCs w:val="24"/>
        </w:rPr>
        <w:t xml:space="preserve">                                                                                                               £m</w:t>
      </w:r>
    </w:p>
    <w:p w14:paraId="0D12FFE7" w14:textId="66201D4E" w:rsidR="00BE0F0E" w:rsidRPr="00F22AA0" w:rsidRDefault="00BE0F0E" w:rsidP="00BE0F0E">
      <w:pPr>
        <w:jc w:val="both"/>
        <w:rPr>
          <w:rFonts w:cs="Arial"/>
          <w:bCs/>
          <w:szCs w:val="24"/>
        </w:rPr>
      </w:pPr>
      <w:r w:rsidRPr="00F22AA0">
        <w:rPr>
          <w:rFonts w:cs="Arial"/>
          <w:bCs/>
          <w:szCs w:val="24"/>
        </w:rPr>
        <w:t xml:space="preserve">Contributions by members and employers (including </w:t>
      </w:r>
      <w:proofErr w:type="gramStart"/>
      <w:r w:rsidRPr="00F22AA0">
        <w:rPr>
          <w:rFonts w:cs="Arial"/>
          <w:bCs/>
          <w:szCs w:val="24"/>
        </w:rPr>
        <w:t xml:space="preserve">transfers)   </w:t>
      </w:r>
      <w:proofErr w:type="gramEnd"/>
      <w:r w:rsidRPr="00F22AA0">
        <w:rPr>
          <w:rFonts w:cs="Arial"/>
          <w:bCs/>
          <w:szCs w:val="24"/>
        </w:rPr>
        <w:t xml:space="preserve">        </w:t>
      </w:r>
      <w:r w:rsidR="00690BAC">
        <w:rPr>
          <w:rFonts w:cs="Arial"/>
          <w:bCs/>
          <w:szCs w:val="24"/>
        </w:rPr>
        <w:t xml:space="preserve"> </w:t>
      </w:r>
      <w:r w:rsidRPr="00F22AA0">
        <w:rPr>
          <w:rFonts w:cs="Arial"/>
          <w:bCs/>
          <w:szCs w:val="24"/>
        </w:rPr>
        <w:t>-3</w:t>
      </w:r>
      <w:r w:rsidR="00690BAC">
        <w:rPr>
          <w:rFonts w:cs="Arial"/>
          <w:bCs/>
          <w:szCs w:val="24"/>
        </w:rPr>
        <w:t>9.2</w:t>
      </w:r>
    </w:p>
    <w:p w14:paraId="2CEFEC3A" w14:textId="28191AA6" w:rsidR="00BE0F0E" w:rsidRPr="00F22AA0" w:rsidRDefault="00BE0F0E" w:rsidP="00BE0F0E">
      <w:pPr>
        <w:jc w:val="both"/>
        <w:rPr>
          <w:rFonts w:cs="Arial"/>
          <w:bCs/>
          <w:szCs w:val="24"/>
        </w:rPr>
      </w:pPr>
      <w:r w:rsidRPr="00F22AA0">
        <w:rPr>
          <w:rFonts w:cs="Arial"/>
          <w:bCs/>
          <w:szCs w:val="24"/>
        </w:rPr>
        <w:t>Benefits paid</w:t>
      </w:r>
      <w:r w:rsidRPr="00F22AA0">
        <w:rPr>
          <w:rFonts w:cs="Arial"/>
          <w:bCs/>
          <w:szCs w:val="24"/>
        </w:rPr>
        <w:tab/>
        <w:t>(including transfers)</w:t>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r>
      <w:r w:rsidRPr="00F22AA0">
        <w:rPr>
          <w:rFonts w:cs="Arial"/>
          <w:bCs/>
          <w:szCs w:val="24"/>
        </w:rPr>
        <w:tab/>
        <w:t xml:space="preserve">              </w:t>
      </w:r>
      <w:r w:rsidR="00690BAC">
        <w:rPr>
          <w:rFonts w:cs="Arial"/>
          <w:bCs/>
          <w:szCs w:val="24"/>
        </w:rPr>
        <w:t xml:space="preserve"> 43.1</w:t>
      </w:r>
    </w:p>
    <w:p w14:paraId="0B464677" w14:textId="791132B7" w:rsidR="00BE0F0E" w:rsidRPr="00F22AA0" w:rsidRDefault="00BE0F0E" w:rsidP="00BE0F0E">
      <w:pPr>
        <w:jc w:val="both"/>
        <w:rPr>
          <w:rFonts w:cs="Arial"/>
          <w:bCs/>
          <w:szCs w:val="24"/>
        </w:rPr>
      </w:pPr>
      <w:r w:rsidRPr="00F22AA0">
        <w:rPr>
          <w:rFonts w:cs="Arial"/>
          <w:bCs/>
          <w:szCs w:val="24"/>
        </w:rPr>
        <w:t xml:space="preserve">Investment income                                                                                  </w:t>
      </w:r>
      <w:r w:rsidR="00690BAC">
        <w:rPr>
          <w:rFonts w:cs="Arial"/>
          <w:bCs/>
          <w:szCs w:val="24"/>
        </w:rPr>
        <w:t xml:space="preserve"> -7.0</w:t>
      </w:r>
      <w:r w:rsidRPr="00F22AA0">
        <w:rPr>
          <w:rFonts w:cs="Arial"/>
          <w:bCs/>
          <w:szCs w:val="24"/>
        </w:rPr>
        <w:t xml:space="preserve">             </w:t>
      </w:r>
    </w:p>
    <w:p w14:paraId="2209EB18" w14:textId="08C3F841" w:rsidR="00BE0F0E" w:rsidRPr="00F22AA0" w:rsidRDefault="00BE0F0E" w:rsidP="00BE0F0E">
      <w:pPr>
        <w:rPr>
          <w:szCs w:val="24"/>
        </w:rPr>
      </w:pPr>
      <w:r w:rsidRPr="00F22AA0">
        <w:rPr>
          <w:szCs w:val="24"/>
        </w:rPr>
        <w:t>Management expenses (including fees charged by                                 investment managers of £</w:t>
      </w:r>
      <w:r>
        <w:rPr>
          <w:szCs w:val="24"/>
        </w:rPr>
        <w:t>3.8m</w:t>
      </w:r>
      <w:r w:rsidRPr="00F22AA0">
        <w:rPr>
          <w:szCs w:val="24"/>
        </w:rPr>
        <w:t xml:space="preserve">) </w:t>
      </w:r>
      <w:r w:rsidRPr="00F22AA0">
        <w:rPr>
          <w:szCs w:val="24"/>
        </w:rPr>
        <w:tab/>
      </w:r>
      <w:r w:rsidRPr="00F22AA0">
        <w:rPr>
          <w:szCs w:val="24"/>
        </w:rPr>
        <w:tab/>
      </w:r>
      <w:r w:rsidRPr="00F22AA0">
        <w:rPr>
          <w:szCs w:val="24"/>
        </w:rPr>
        <w:tab/>
      </w:r>
      <w:r w:rsidRPr="00F22AA0">
        <w:rPr>
          <w:szCs w:val="24"/>
        </w:rPr>
        <w:tab/>
      </w:r>
      <w:r w:rsidRPr="00F22AA0">
        <w:rPr>
          <w:szCs w:val="24"/>
        </w:rPr>
        <w:tab/>
      </w:r>
      <w:r w:rsidRPr="00F22AA0">
        <w:rPr>
          <w:szCs w:val="24"/>
        </w:rPr>
        <w:tab/>
        <w:t xml:space="preserve">      5.</w:t>
      </w:r>
      <w:r w:rsidR="00690BAC">
        <w:rPr>
          <w:szCs w:val="24"/>
        </w:rPr>
        <w:t>3</w:t>
      </w:r>
      <w:r w:rsidRPr="00F22AA0">
        <w:rPr>
          <w:szCs w:val="24"/>
        </w:rPr>
        <w:t xml:space="preserve">                                                     </w:t>
      </w:r>
    </w:p>
    <w:p w14:paraId="718CC378" w14:textId="07590722" w:rsidR="00BE0F0E" w:rsidRPr="00F22AA0" w:rsidRDefault="00BE0F0E" w:rsidP="00BE0F0E">
      <w:pPr>
        <w:rPr>
          <w:szCs w:val="24"/>
        </w:rPr>
      </w:pPr>
      <w:r w:rsidRPr="00F22AA0">
        <w:rPr>
          <w:szCs w:val="24"/>
        </w:rPr>
        <w:t xml:space="preserve">Profits on sales an increase in market value of investments               </w:t>
      </w:r>
      <w:r w:rsidR="00690BAC">
        <w:rPr>
          <w:szCs w:val="24"/>
        </w:rPr>
        <w:t xml:space="preserve">  </w:t>
      </w:r>
      <w:r w:rsidRPr="00F22AA0">
        <w:rPr>
          <w:szCs w:val="24"/>
        </w:rPr>
        <w:t>-</w:t>
      </w:r>
      <w:r w:rsidR="00690BAC">
        <w:rPr>
          <w:szCs w:val="24"/>
        </w:rPr>
        <w:t>52.3</w:t>
      </w:r>
    </w:p>
    <w:p w14:paraId="4033C4EF" w14:textId="77777777" w:rsidR="00BE0F0E" w:rsidRPr="00B26886" w:rsidRDefault="00BE0F0E" w:rsidP="00BE0F0E">
      <w:pPr>
        <w:jc w:val="both"/>
        <w:rPr>
          <w:szCs w:val="24"/>
          <w:highlight w:val="yellow"/>
        </w:rPr>
      </w:pPr>
    </w:p>
    <w:p w14:paraId="1D16E5DC" w14:textId="0362A23E" w:rsidR="00BE0F0E" w:rsidRPr="006F6D50" w:rsidRDefault="00BE0F0E" w:rsidP="00BE0F0E">
      <w:pPr>
        <w:pStyle w:val="ListParagraph"/>
        <w:numPr>
          <w:ilvl w:val="0"/>
          <w:numId w:val="17"/>
        </w:numPr>
        <w:jc w:val="both"/>
        <w:rPr>
          <w:bCs/>
          <w:szCs w:val="24"/>
          <w:u w:val="single"/>
        </w:rPr>
      </w:pPr>
      <w:r w:rsidRPr="006F6D50">
        <w:rPr>
          <w:bCs/>
          <w:sz w:val="24"/>
          <w:szCs w:val="24"/>
          <w:u w:val="single"/>
        </w:rPr>
        <w:t xml:space="preserve">Scheme Overview </w:t>
      </w:r>
    </w:p>
    <w:p w14:paraId="67CB864B" w14:textId="77777777" w:rsidR="00690BAC" w:rsidRDefault="00690BAC" w:rsidP="00690BAC">
      <w:pPr>
        <w:jc w:val="both"/>
        <w:rPr>
          <w:bCs/>
          <w:szCs w:val="24"/>
        </w:rPr>
      </w:pPr>
    </w:p>
    <w:p w14:paraId="158651AF" w14:textId="2530DE13" w:rsidR="00690BAC" w:rsidRDefault="00690BAC" w:rsidP="00690BAC">
      <w:pPr>
        <w:jc w:val="both"/>
        <w:rPr>
          <w:bCs/>
          <w:szCs w:val="24"/>
        </w:rPr>
      </w:pPr>
      <w:proofErr w:type="gramStart"/>
      <w:r w:rsidRPr="00690BAC">
        <w:rPr>
          <w:bCs/>
          <w:szCs w:val="24"/>
        </w:rPr>
        <w:t>At</w:t>
      </w:r>
      <w:proofErr w:type="gramEnd"/>
      <w:r w:rsidRPr="00690BAC">
        <w:rPr>
          <w:bCs/>
          <w:szCs w:val="24"/>
        </w:rPr>
        <w:t xml:space="preserve"> 31 March</w:t>
      </w:r>
      <w:r>
        <w:rPr>
          <w:bCs/>
          <w:szCs w:val="24"/>
        </w:rPr>
        <w:t xml:space="preserve">, the </w:t>
      </w:r>
    </w:p>
    <w:p w14:paraId="5C6A97DA" w14:textId="0DDDBE30" w:rsidR="00BE0F0E" w:rsidRPr="00690BAC" w:rsidRDefault="00BE0F0E" w:rsidP="00690BAC">
      <w:pPr>
        <w:pStyle w:val="ListParagraph"/>
        <w:numPr>
          <w:ilvl w:val="0"/>
          <w:numId w:val="20"/>
        </w:numPr>
        <w:jc w:val="both"/>
        <w:rPr>
          <w:bCs/>
          <w:sz w:val="24"/>
          <w:szCs w:val="24"/>
        </w:rPr>
      </w:pPr>
      <w:r w:rsidRPr="00690BAC">
        <w:rPr>
          <w:bCs/>
          <w:sz w:val="24"/>
          <w:szCs w:val="24"/>
        </w:rPr>
        <w:t>Number of pensioners has increased from 5,7</w:t>
      </w:r>
      <w:r w:rsidR="00690BAC" w:rsidRPr="00690BAC">
        <w:rPr>
          <w:bCs/>
          <w:sz w:val="24"/>
          <w:szCs w:val="24"/>
        </w:rPr>
        <w:t>95</w:t>
      </w:r>
      <w:r w:rsidRPr="00690BAC">
        <w:rPr>
          <w:bCs/>
          <w:sz w:val="24"/>
          <w:szCs w:val="24"/>
        </w:rPr>
        <w:t xml:space="preserve"> in </w:t>
      </w:r>
      <w:r w:rsidR="00690BAC" w:rsidRPr="00690BAC">
        <w:rPr>
          <w:bCs/>
          <w:sz w:val="24"/>
          <w:szCs w:val="24"/>
        </w:rPr>
        <w:t>2019 to 6.460</w:t>
      </w:r>
      <w:r w:rsidRPr="00690BAC">
        <w:rPr>
          <w:bCs/>
          <w:sz w:val="24"/>
          <w:szCs w:val="24"/>
        </w:rPr>
        <w:t xml:space="preserve"> in 202</w:t>
      </w:r>
      <w:r w:rsidR="00690BAC" w:rsidRPr="00690BAC">
        <w:rPr>
          <w:bCs/>
          <w:sz w:val="24"/>
          <w:szCs w:val="24"/>
        </w:rPr>
        <w:t>2</w:t>
      </w:r>
      <w:r w:rsidRPr="00690BAC">
        <w:rPr>
          <w:bCs/>
          <w:sz w:val="24"/>
          <w:szCs w:val="24"/>
        </w:rPr>
        <w:t>.</w:t>
      </w:r>
    </w:p>
    <w:p w14:paraId="00507864" w14:textId="01CDEC5C" w:rsidR="00BE0F0E" w:rsidRPr="00690BAC" w:rsidRDefault="00BE0F0E" w:rsidP="00690BAC">
      <w:pPr>
        <w:pStyle w:val="ListParagraph"/>
        <w:numPr>
          <w:ilvl w:val="0"/>
          <w:numId w:val="20"/>
        </w:numPr>
        <w:jc w:val="both"/>
        <w:rPr>
          <w:bCs/>
          <w:sz w:val="24"/>
          <w:szCs w:val="24"/>
        </w:rPr>
      </w:pPr>
      <w:r w:rsidRPr="00690BAC">
        <w:rPr>
          <w:bCs/>
          <w:sz w:val="24"/>
          <w:szCs w:val="24"/>
        </w:rPr>
        <w:t xml:space="preserve">Number of deferred pensioners has </w:t>
      </w:r>
      <w:r w:rsidR="00690BAC" w:rsidRPr="00690BAC">
        <w:rPr>
          <w:bCs/>
          <w:sz w:val="24"/>
          <w:szCs w:val="24"/>
        </w:rPr>
        <w:t>decreased</w:t>
      </w:r>
      <w:r w:rsidRPr="00690BAC">
        <w:rPr>
          <w:bCs/>
          <w:sz w:val="24"/>
          <w:szCs w:val="24"/>
        </w:rPr>
        <w:t xml:space="preserve"> from </w:t>
      </w:r>
      <w:r w:rsidR="00690BAC" w:rsidRPr="00690BAC">
        <w:rPr>
          <w:bCs/>
          <w:sz w:val="24"/>
          <w:szCs w:val="24"/>
        </w:rPr>
        <w:t>6,966</w:t>
      </w:r>
      <w:r w:rsidRPr="00690BAC">
        <w:rPr>
          <w:bCs/>
          <w:sz w:val="24"/>
          <w:szCs w:val="24"/>
        </w:rPr>
        <w:t xml:space="preserve"> in </w:t>
      </w:r>
      <w:r w:rsidR="00690BAC" w:rsidRPr="00690BAC">
        <w:rPr>
          <w:bCs/>
          <w:sz w:val="24"/>
          <w:szCs w:val="24"/>
        </w:rPr>
        <w:t>2018</w:t>
      </w:r>
      <w:r w:rsidRPr="00690BAC">
        <w:rPr>
          <w:bCs/>
          <w:sz w:val="24"/>
          <w:szCs w:val="24"/>
        </w:rPr>
        <w:t xml:space="preserve"> to 6,9</w:t>
      </w:r>
      <w:r w:rsidR="00690BAC" w:rsidRPr="00690BAC">
        <w:rPr>
          <w:bCs/>
          <w:sz w:val="24"/>
          <w:szCs w:val="24"/>
        </w:rPr>
        <w:t>57</w:t>
      </w:r>
      <w:r w:rsidRPr="00690BAC">
        <w:rPr>
          <w:bCs/>
          <w:sz w:val="24"/>
          <w:szCs w:val="24"/>
        </w:rPr>
        <w:t xml:space="preserve"> in 202</w:t>
      </w:r>
      <w:r w:rsidR="00690BAC" w:rsidRPr="00690BAC">
        <w:rPr>
          <w:bCs/>
          <w:sz w:val="24"/>
          <w:szCs w:val="24"/>
        </w:rPr>
        <w:t>2</w:t>
      </w:r>
      <w:r w:rsidRPr="00690BAC">
        <w:rPr>
          <w:bCs/>
          <w:sz w:val="24"/>
          <w:szCs w:val="24"/>
        </w:rPr>
        <w:t xml:space="preserve">. </w:t>
      </w:r>
    </w:p>
    <w:p w14:paraId="2A2740EA" w14:textId="1324C05F" w:rsidR="00BE0F0E" w:rsidRPr="00690BAC" w:rsidRDefault="00BE0F0E" w:rsidP="00690BAC">
      <w:pPr>
        <w:pStyle w:val="ListParagraph"/>
        <w:numPr>
          <w:ilvl w:val="0"/>
          <w:numId w:val="20"/>
        </w:numPr>
        <w:jc w:val="both"/>
        <w:rPr>
          <w:bCs/>
          <w:sz w:val="24"/>
          <w:szCs w:val="24"/>
        </w:rPr>
      </w:pPr>
      <w:r w:rsidRPr="00690BAC">
        <w:rPr>
          <w:bCs/>
          <w:sz w:val="24"/>
          <w:szCs w:val="24"/>
        </w:rPr>
        <w:t xml:space="preserve">Number of active members </w:t>
      </w:r>
      <w:r w:rsidR="00690BAC">
        <w:rPr>
          <w:bCs/>
          <w:sz w:val="24"/>
          <w:szCs w:val="24"/>
        </w:rPr>
        <w:t>in</w:t>
      </w:r>
      <w:r w:rsidRPr="00690BAC">
        <w:rPr>
          <w:bCs/>
          <w:sz w:val="24"/>
          <w:szCs w:val="24"/>
        </w:rPr>
        <w:t>creased from 5,</w:t>
      </w:r>
      <w:r w:rsidR="00690BAC">
        <w:rPr>
          <w:bCs/>
          <w:sz w:val="24"/>
          <w:szCs w:val="24"/>
        </w:rPr>
        <w:t>400</w:t>
      </w:r>
      <w:r w:rsidRPr="00690BAC">
        <w:rPr>
          <w:bCs/>
          <w:sz w:val="24"/>
          <w:szCs w:val="24"/>
        </w:rPr>
        <w:t xml:space="preserve"> in 2018 to 5,</w:t>
      </w:r>
      <w:r w:rsidR="00690BAC">
        <w:rPr>
          <w:bCs/>
          <w:sz w:val="24"/>
          <w:szCs w:val="24"/>
        </w:rPr>
        <w:t>586</w:t>
      </w:r>
      <w:r w:rsidRPr="00690BAC">
        <w:rPr>
          <w:bCs/>
          <w:sz w:val="24"/>
          <w:szCs w:val="24"/>
        </w:rPr>
        <w:t xml:space="preserve"> in 202</w:t>
      </w:r>
      <w:r w:rsidR="00095D8C">
        <w:rPr>
          <w:bCs/>
          <w:sz w:val="24"/>
          <w:szCs w:val="24"/>
        </w:rPr>
        <w:t>2</w:t>
      </w:r>
      <w:r w:rsidRPr="00690BAC">
        <w:rPr>
          <w:bCs/>
          <w:sz w:val="24"/>
          <w:szCs w:val="24"/>
        </w:rPr>
        <w:t>.</w:t>
      </w:r>
    </w:p>
    <w:p w14:paraId="3EF20768" w14:textId="77777777" w:rsidR="00BE0F0E" w:rsidRPr="00B26886" w:rsidRDefault="00BE0F0E" w:rsidP="00BE0F0E">
      <w:pPr>
        <w:jc w:val="both"/>
        <w:rPr>
          <w:szCs w:val="24"/>
          <w:highlight w:val="yellow"/>
        </w:rPr>
      </w:pPr>
    </w:p>
    <w:p w14:paraId="6613040F" w14:textId="2F0CF757" w:rsidR="00BE0F0E" w:rsidRPr="00F22AA0" w:rsidRDefault="00BE0F0E" w:rsidP="00BE0F0E">
      <w:pPr>
        <w:jc w:val="both"/>
      </w:pPr>
      <w:r w:rsidRPr="00F22AA0">
        <w:rPr>
          <w:szCs w:val="24"/>
        </w:rPr>
        <w:t xml:space="preserve">The Fund continues to mature in that benefit payments exceed contributions. This trend towards maturity can be expected to continue as the number of pensioners grows and active membership either stabilises or falls. </w:t>
      </w:r>
      <w:r w:rsidR="00095D8C">
        <w:rPr>
          <w:szCs w:val="24"/>
        </w:rPr>
        <w:t>Cash</w:t>
      </w:r>
      <w:r w:rsidR="00611378">
        <w:rPr>
          <w:szCs w:val="24"/>
        </w:rPr>
        <w:t>f</w:t>
      </w:r>
      <w:r w:rsidR="00095D8C">
        <w:rPr>
          <w:szCs w:val="24"/>
        </w:rPr>
        <w:t>low</w:t>
      </w:r>
      <w:r w:rsidRPr="00F22AA0">
        <w:rPr>
          <w:szCs w:val="24"/>
        </w:rPr>
        <w:t xml:space="preserve"> </w:t>
      </w:r>
      <w:r w:rsidR="00095D8C">
        <w:rPr>
          <w:szCs w:val="24"/>
        </w:rPr>
        <w:t xml:space="preserve">(even after taking account of investment income) is now slightly negative, although the investment strategy retains sufficient liquidity to address this in the short to medium term. </w:t>
      </w:r>
      <w:r w:rsidRPr="00F22AA0">
        <w:rPr>
          <w:szCs w:val="24"/>
        </w:rPr>
        <w:t xml:space="preserve">The impact of stable membership, longevity and pension increases </w:t>
      </w:r>
      <w:r w:rsidR="00095D8C">
        <w:rPr>
          <w:szCs w:val="24"/>
        </w:rPr>
        <w:t xml:space="preserve">are likely to </w:t>
      </w:r>
      <w:r w:rsidRPr="00F22AA0">
        <w:rPr>
          <w:szCs w:val="24"/>
        </w:rPr>
        <w:t xml:space="preserve">increase future cash outflows </w:t>
      </w:r>
      <w:r w:rsidR="00095D8C">
        <w:rPr>
          <w:szCs w:val="24"/>
        </w:rPr>
        <w:t xml:space="preserve">gradually. In the longer term, it is likely that this will </w:t>
      </w:r>
      <w:r w:rsidRPr="00F22AA0">
        <w:rPr>
          <w:szCs w:val="24"/>
        </w:rPr>
        <w:t>have to be factored into the inv</w:t>
      </w:r>
      <w:r w:rsidRPr="00F22AA0">
        <w:t xml:space="preserve">estment strategy. </w:t>
      </w:r>
    </w:p>
    <w:p w14:paraId="7650A19B" w14:textId="7856C4BB" w:rsidR="00BE0F0E" w:rsidRDefault="00BE0F0E" w:rsidP="00BE0F0E">
      <w:pPr>
        <w:ind w:left="284"/>
        <w:jc w:val="both"/>
      </w:pPr>
    </w:p>
    <w:p w14:paraId="3469E0D9" w14:textId="621B169D" w:rsidR="00213BE7" w:rsidRDefault="00213BE7" w:rsidP="00213BE7">
      <w:pPr>
        <w:pStyle w:val="Heading2"/>
      </w:pPr>
      <w:r>
        <w:t>Legal Implications</w:t>
      </w:r>
    </w:p>
    <w:p w14:paraId="443F8251" w14:textId="53772BE0" w:rsidR="00180D94" w:rsidRDefault="00180D94" w:rsidP="00180D94"/>
    <w:p w14:paraId="59D7BD99" w14:textId="44918A92" w:rsidR="00BB0DBA" w:rsidRPr="00BB0DBA" w:rsidRDefault="00180D94" w:rsidP="00BA712B">
      <w:pPr>
        <w:pStyle w:val="ListParagraph"/>
        <w:numPr>
          <w:ilvl w:val="0"/>
          <w:numId w:val="16"/>
        </w:numPr>
        <w:rPr>
          <w:sz w:val="24"/>
          <w:szCs w:val="24"/>
        </w:rPr>
      </w:pPr>
      <w:r w:rsidRPr="00BB0DBA">
        <w:rPr>
          <w:sz w:val="24"/>
          <w:szCs w:val="24"/>
        </w:rPr>
        <w:t>There are no direct legal implications arising from this report.</w:t>
      </w:r>
    </w:p>
    <w:p w14:paraId="1E7DE3C6" w14:textId="77777777" w:rsidR="00BB0DBA" w:rsidRPr="00BB0DBA" w:rsidRDefault="00BB0DBA" w:rsidP="00BB0DBA">
      <w:pPr>
        <w:pStyle w:val="ListParagraph"/>
        <w:ind w:left="584"/>
        <w:rPr>
          <w:sz w:val="24"/>
          <w:szCs w:val="24"/>
        </w:rPr>
      </w:pPr>
    </w:p>
    <w:p w14:paraId="50C1063F" w14:textId="3B557E36" w:rsidR="00BB0DBA" w:rsidRPr="00BB0DBA" w:rsidRDefault="00BB0DBA" w:rsidP="00BA712B">
      <w:pPr>
        <w:pStyle w:val="ListParagraph"/>
        <w:numPr>
          <w:ilvl w:val="0"/>
          <w:numId w:val="16"/>
        </w:numPr>
        <w:rPr>
          <w:sz w:val="24"/>
          <w:szCs w:val="24"/>
        </w:rPr>
      </w:pPr>
      <w:r w:rsidRPr="00BB0DBA">
        <w:rPr>
          <w:color w:val="262626"/>
          <w:sz w:val="24"/>
          <w:szCs w:val="24"/>
          <w:lang w:val="en-US"/>
        </w:rPr>
        <w:t>The Pension Fund Committee has the following powers and duties:</w:t>
      </w:r>
    </w:p>
    <w:p w14:paraId="18197774" w14:textId="77777777" w:rsidR="00BB0DBA" w:rsidRPr="00BB0DBA" w:rsidRDefault="00BB0DBA" w:rsidP="00BB0DBA">
      <w:pPr>
        <w:shd w:val="clear" w:color="auto" w:fill="FFFFFF"/>
        <w:rPr>
          <w:rFonts w:cs="Arial"/>
          <w:color w:val="262626"/>
          <w:szCs w:val="24"/>
          <w:lang w:eastAsia="en-GB"/>
        </w:rPr>
      </w:pPr>
      <w:r w:rsidRPr="00BB0DBA">
        <w:rPr>
          <w:rFonts w:cs="Arial"/>
          <w:color w:val="262626"/>
          <w:szCs w:val="24"/>
          <w:lang w:val="en-US" w:eastAsia="en-GB"/>
        </w:rPr>
        <w:t> </w:t>
      </w:r>
    </w:p>
    <w:p w14:paraId="24086B71" w14:textId="5C033DAB"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t</w:t>
      </w:r>
      <w:r w:rsidRPr="00BB0DBA">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BB0DBA">
        <w:rPr>
          <w:color w:val="262626"/>
          <w:sz w:val="24"/>
          <w:szCs w:val="24"/>
        </w:rPr>
        <w:t>Officer;</w:t>
      </w:r>
      <w:proofErr w:type="gramEnd"/>
    </w:p>
    <w:p w14:paraId="363A93C9" w14:textId="38076E75"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rPr>
        <w:t xml:space="preserve">the determination of applications under the Local Government Superannuation Regulations and the Teachers’ Superannuation </w:t>
      </w:r>
      <w:proofErr w:type="gramStart"/>
      <w:r w:rsidRPr="00BB0DBA">
        <w:rPr>
          <w:color w:val="262626"/>
          <w:sz w:val="24"/>
          <w:szCs w:val="24"/>
        </w:rPr>
        <w:t>Regulations;</w:t>
      </w:r>
      <w:proofErr w:type="gramEnd"/>
    </w:p>
    <w:p w14:paraId="5B3DBFA9" w14:textId="3E6C58F0"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 xml:space="preserve">to administer all matters concerning the Council’s pension investments in accordance with the law and Council </w:t>
      </w:r>
      <w:proofErr w:type="gramStart"/>
      <w:r w:rsidRPr="00BB0DBA">
        <w:rPr>
          <w:color w:val="262626"/>
          <w:sz w:val="24"/>
          <w:szCs w:val="24"/>
          <w:lang w:val="en-US"/>
        </w:rPr>
        <w:t>policy;</w:t>
      </w:r>
      <w:proofErr w:type="gramEnd"/>
    </w:p>
    <w:p w14:paraId="53284317" w14:textId="77777777"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to establish a strategy for the disposition of the pension investment portfolio; and</w:t>
      </w:r>
    </w:p>
    <w:p w14:paraId="5357D154" w14:textId="6323FBC7"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lang w:val="en-US"/>
        </w:rPr>
        <w:t xml:space="preserve">to appoint and determine the investment managers’ delegation of powers of management of the </w:t>
      </w:r>
      <w:proofErr w:type="gramStart"/>
      <w:r w:rsidRPr="00BB0DBA">
        <w:rPr>
          <w:color w:val="262626"/>
          <w:sz w:val="24"/>
          <w:szCs w:val="24"/>
          <w:lang w:val="en-US"/>
        </w:rPr>
        <w:t>fund;</w:t>
      </w:r>
      <w:proofErr w:type="gramEnd"/>
    </w:p>
    <w:p w14:paraId="6DE7C159" w14:textId="3C833031" w:rsidR="00BB0DBA" w:rsidRPr="00BB0DBA" w:rsidRDefault="00BB0DBA" w:rsidP="00BB0DBA">
      <w:pPr>
        <w:pStyle w:val="ListParagraph"/>
        <w:numPr>
          <w:ilvl w:val="0"/>
          <w:numId w:val="21"/>
        </w:numPr>
        <w:shd w:val="clear" w:color="auto" w:fill="FFFFFF"/>
        <w:spacing w:after="240"/>
        <w:rPr>
          <w:color w:val="262626"/>
          <w:sz w:val="24"/>
          <w:szCs w:val="24"/>
        </w:rPr>
      </w:pPr>
      <w:r w:rsidRPr="00BB0DBA">
        <w:rPr>
          <w:color w:val="262626"/>
          <w:sz w:val="24"/>
          <w:szCs w:val="24"/>
        </w:rPr>
        <w:lastRenderedPageBreak/>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BB0DBA">
        <w:rPr>
          <w:color w:val="262626"/>
          <w:sz w:val="24"/>
          <w:szCs w:val="24"/>
        </w:rPr>
        <w:t>Officers;</w:t>
      </w:r>
      <w:proofErr w:type="gramEnd"/>
    </w:p>
    <w:p w14:paraId="3FEA2084" w14:textId="1C83C69B" w:rsidR="00BB0DBA" w:rsidRPr="00BB0DBA" w:rsidRDefault="00BB0DBA" w:rsidP="00BB0DBA">
      <w:pPr>
        <w:pStyle w:val="ListParagraph"/>
        <w:numPr>
          <w:ilvl w:val="0"/>
          <w:numId w:val="21"/>
        </w:numPr>
        <w:shd w:val="clear" w:color="auto" w:fill="FFFFFF"/>
        <w:rPr>
          <w:color w:val="262626"/>
          <w:sz w:val="24"/>
          <w:szCs w:val="24"/>
        </w:rPr>
      </w:pPr>
      <w:r w:rsidRPr="00BB0DBA">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25ACDC34" w14:textId="0D62B9D9" w:rsidR="00BB0DBA" w:rsidRPr="00BB0DBA" w:rsidRDefault="00BB0DBA" w:rsidP="00BB0DBA">
      <w:pPr>
        <w:pStyle w:val="ListParagraph"/>
        <w:tabs>
          <w:tab w:val="left" w:pos="1110"/>
        </w:tabs>
        <w:ind w:left="584"/>
        <w:rPr>
          <w:sz w:val="24"/>
          <w:szCs w:val="24"/>
        </w:rPr>
      </w:pPr>
      <w:r>
        <w:rPr>
          <w:sz w:val="24"/>
          <w:szCs w:val="24"/>
        </w:rPr>
        <w:tab/>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68B02F5D"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 xml:space="preserve">at the </w:t>
      </w:r>
      <w:proofErr w:type="gramStart"/>
      <w:r w:rsidR="00BE0F0E">
        <w:t>9</w:t>
      </w:r>
      <w:r w:rsidR="00BE0F0E" w:rsidRPr="00BE0F0E">
        <w:rPr>
          <w:vertAlign w:val="superscript"/>
        </w:rPr>
        <w:t>th</w:t>
      </w:r>
      <w:proofErr w:type="gramEnd"/>
      <w:r w:rsidR="00BE0F0E">
        <w:t xml:space="preserve"> March </w:t>
      </w:r>
      <w:r w:rsidR="006D6B23">
        <w:t>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11BF41CC" w14:textId="4FBEDD6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B0D6482" w:rsidR="00912904" w:rsidRPr="00A66326" w:rsidRDefault="00912904" w:rsidP="00912904">
      <w:pPr>
        <w:rPr>
          <w:sz w:val="28"/>
        </w:rPr>
      </w:pPr>
      <w:r w:rsidRPr="00A66326">
        <w:rPr>
          <w:b/>
          <w:sz w:val="28"/>
        </w:rPr>
        <w:t xml:space="preserve">Statutory Officer:  </w:t>
      </w:r>
      <w:r w:rsidR="00F017FA">
        <w:rPr>
          <w:b/>
          <w:sz w:val="28"/>
        </w:rPr>
        <w:t>Dawn Calvert</w:t>
      </w:r>
    </w:p>
    <w:p w14:paraId="57640BD9" w14:textId="64851CBC" w:rsidR="00912904" w:rsidRDefault="00912904" w:rsidP="00912904">
      <w:r w:rsidRPr="00A66326">
        <w:t>Signed by the Chief Financial Officer</w:t>
      </w:r>
    </w:p>
    <w:p w14:paraId="5745A2E3" w14:textId="572F90EB" w:rsidR="00912904" w:rsidRDefault="00912904" w:rsidP="00912904">
      <w:pPr>
        <w:spacing w:after="480"/>
        <w:rPr>
          <w:b/>
          <w:sz w:val="28"/>
        </w:rPr>
      </w:pPr>
      <w:r w:rsidRPr="00A66326">
        <w:rPr>
          <w:b/>
          <w:sz w:val="28"/>
        </w:rPr>
        <w:t xml:space="preserve">Date:  </w:t>
      </w:r>
      <w:r w:rsidR="00F017FA">
        <w:rPr>
          <w:b/>
          <w:sz w:val="28"/>
        </w:rPr>
        <w:t>01/09/202</w:t>
      </w:r>
      <w:r w:rsidR="00514640">
        <w:rPr>
          <w:b/>
          <w:sz w:val="28"/>
        </w:rPr>
        <w:t>2</w:t>
      </w:r>
    </w:p>
    <w:p w14:paraId="56D7590B" w14:textId="77777777" w:rsidR="00514640" w:rsidRPr="00A66326" w:rsidRDefault="00514640" w:rsidP="00912904">
      <w:pPr>
        <w:spacing w:after="480"/>
        <w:rPr>
          <w:sz w:val="28"/>
        </w:rPr>
      </w:pPr>
    </w:p>
    <w:p w14:paraId="2586CC50" w14:textId="7E7A9749" w:rsidR="00912904" w:rsidRPr="00A66326" w:rsidRDefault="00912904" w:rsidP="00912904">
      <w:pPr>
        <w:rPr>
          <w:sz w:val="28"/>
        </w:rPr>
      </w:pPr>
      <w:r w:rsidRPr="00A66326">
        <w:rPr>
          <w:b/>
          <w:sz w:val="28"/>
        </w:rPr>
        <w:lastRenderedPageBreak/>
        <w:t xml:space="preserve">Statutory Officer:  </w:t>
      </w:r>
      <w:r w:rsidR="00AB750A">
        <w:rPr>
          <w:b/>
          <w:sz w:val="28"/>
        </w:rPr>
        <w:t>Sharon Clarke</w:t>
      </w:r>
    </w:p>
    <w:p w14:paraId="3F58D77A" w14:textId="60ABC8E9" w:rsidR="00912904" w:rsidRPr="00A66326" w:rsidRDefault="00912904" w:rsidP="00912904">
      <w:r w:rsidRPr="00A66326">
        <w:t>Signed on behalf of the Monitoring Officer</w:t>
      </w:r>
    </w:p>
    <w:p w14:paraId="61F8C7E6" w14:textId="23A2C0E4" w:rsidR="00912904" w:rsidRPr="003313EA" w:rsidRDefault="00912904" w:rsidP="00912904">
      <w:pPr>
        <w:spacing w:after="480"/>
        <w:rPr>
          <w:sz w:val="28"/>
        </w:rPr>
      </w:pPr>
      <w:r w:rsidRPr="00A66326">
        <w:rPr>
          <w:b/>
          <w:sz w:val="28"/>
        </w:rPr>
        <w:t xml:space="preserve">Date:  </w:t>
      </w:r>
      <w:r w:rsidR="00AB750A">
        <w:rPr>
          <w:b/>
          <w:sz w:val="28"/>
        </w:rPr>
        <w:t>30/08/2022</w:t>
      </w:r>
    </w:p>
    <w:p w14:paraId="2019A53D" w14:textId="64CA7230"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F017FA">
        <w:rPr>
          <w:b/>
          <w:sz w:val="28"/>
        </w:rPr>
        <w:t>Dawn Calvert</w:t>
      </w:r>
    </w:p>
    <w:p w14:paraId="12E4D11B" w14:textId="43429B30" w:rsidR="00912904" w:rsidRPr="00A66326" w:rsidRDefault="00365D29" w:rsidP="00912904">
      <w:r>
        <w:t>Signed</w:t>
      </w:r>
      <w:r w:rsidR="00912904" w:rsidRPr="00A66326">
        <w:t xml:space="preserve"> </w:t>
      </w:r>
      <w:r w:rsidR="00BE0F0E">
        <w:t xml:space="preserve">on behalf of </w:t>
      </w:r>
      <w:r w:rsidR="00912904" w:rsidRPr="00A66326">
        <w:t xml:space="preserve">the </w:t>
      </w:r>
      <w:r w:rsidR="00F017FA">
        <w:t>Chief Executive</w:t>
      </w:r>
    </w:p>
    <w:p w14:paraId="21482980" w14:textId="10D91B19" w:rsidR="00912904" w:rsidRPr="00A66326" w:rsidRDefault="00912904" w:rsidP="00912904">
      <w:pPr>
        <w:spacing w:after="480"/>
        <w:rPr>
          <w:sz w:val="28"/>
        </w:rPr>
      </w:pPr>
      <w:r w:rsidRPr="00A66326">
        <w:rPr>
          <w:b/>
          <w:sz w:val="28"/>
        </w:rPr>
        <w:t xml:space="preserve">Date:  </w:t>
      </w:r>
      <w:r w:rsidR="00F017FA">
        <w:rPr>
          <w:b/>
          <w:sz w:val="28"/>
        </w:rPr>
        <w:t>01/09/2022</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253AC26C" w:rsidR="002A2389" w:rsidRDefault="002A2389" w:rsidP="003737C1">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6A1B"/>
    <w:multiLevelType w:val="hybridMultilevel"/>
    <w:tmpl w:val="936628C0"/>
    <w:lvl w:ilvl="0" w:tplc="CFEE5684">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6"/>
  </w:num>
  <w:num w:numId="9">
    <w:abstractNumId w:val="4"/>
  </w:num>
  <w:num w:numId="10">
    <w:abstractNumId w:val="15"/>
  </w:num>
  <w:num w:numId="11">
    <w:abstractNumId w:val="19"/>
  </w:num>
  <w:num w:numId="12">
    <w:abstractNumId w:val="14"/>
  </w:num>
  <w:num w:numId="13">
    <w:abstractNumId w:val="3"/>
  </w:num>
  <w:num w:numId="14">
    <w:abstractNumId w:val="7"/>
  </w:num>
  <w:num w:numId="15">
    <w:abstractNumId w:val="12"/>
  </w:num>
  <w:num w:numId="16">
    <w:abstractNumId w:val="5"/>
  </w:num>
  <w:num w:numId="17">
    <w:abstractNumId w:val="8"/>
  </w:num>
  <w:num w:numId="18">
    <w:abstractNumId w:val="18"/>
  </w:num>
  <w:num w:numId="19">
    <w:abstractNumId w:val="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5D8C"/>
    <w:rsid w:val="000967C9"/>
    <w:rsid w:val="000A3631"/>
    <w:rsid w:val="000A58A1"/>
    <w:rsid w:val="000A6659"/>
    <w:rsid w:val="000B0E6F"/>
    <w:rsid w:val="000B6DBB"/>
    <w:rsid w:val="000D2BF2"/>
    <w:rsid w:val="000D5870"/>
    <w:rsid w:val="000F65C0"/>
    <w:rsid w:val="00134D55"/>
    <w:rsid w:val="00180D94"/>
    <w:rsid w:val="001939BA"/>
    <w:rsid w:val="001A6EB0"/>
    <w:rsid w:val="001B441D"/>
    <w:rsid w:val="001C5225"/>
    <w:rsid w:val="001E0219"/>
    <w:rsid w:val="00213BE7"/>
    <w:rsid w:val="00231A1D"/>
    <w:rsid w:val="00244120"/>
    <w:rsid w:val="00293F9F"/>
    <w:rsid w:val="002A2389"/>
    <w:rsid w:val="002A68FF"/>
    <w:rsid w:val="002B62F0"/>
    <w:rsid w:val="002C08E2"/>
    <w:rsid w:val="002C1794"/>
    <w:rsid w:val="002D2FC5"/>
    <w:rsid w:val="002E6637"/>
    <w:rsid w:val="002E77E3"/>
    <w:rsid w:val="002F0E81"/>
    <w:rsid w:val="00332947"/>
    <w:rsid w:val="00333EB4"/>
    <w:rsid w:val="00345915"/>
    <w:rsid w:val="00365D29"/>
    <w:rsid w:val="003737C1"/>
    <w:rsid w:val="00374F22"/>
    <w:rsid w:val="00385716"/>
    <w:rsid w:val="003D2FFE"/>
    <w:rsid w:val="003D5F0A"/>
    <w:rsid w:val="003D73DF"/>
    <w:rsid w:val="00400032"/>
    <w:rsid w:val="0042394B"/>
    <w:rsid w:val="00473B08"/>
    <w:rsid w:val="00474B5F"/>
    <w:rsid w:val="004A3CE6"/>
    <w:rsid w:val="004A4A1D"/>
    <w:rsid w:val="004B2C9D"/>
    <w:rsid w:val="004B4A47"/>
    <w:rsid w:val="004C4AB0"/>
    <w:rsid w:val="004E667D"/>
    <w:rsid w:val="004E6AF9"/>
    <w:rsid w:val="005031DF"/>
    <w:rsid w:val="00514640"/>
    <w:rsid w:val="00526A14"/>
    <w:rsid w:val="00534BAA"/>
    <w:rsid w:val="0056613F"/>
    <w:rsid w:val="00597314"/>
    <w:rsid w:val="005A61AF"/>
    <w:rsid w:val="005D0886"/>
    <w:rsid w:val="005E384D"/>
    <w:rsid w:val="005F2181"/>
    <w:rsid w:val="005F61BC"/>
    <w:rsid w:val="005F724B"/>
    <w:rsid w:val="00606705"/>
    <w:rsid w:val="00611378"/>
    <w:rsid w:val="00625DFF"/>
    <w:rsid w:val="0063072B"/>
    <w:rsid w:val="00662891"/>
    <w:rsid w:val="006628B7"/>
    <w:rsid w:val="00675FCB"/>
    <w:rsid w:val="00690BAC"/>
    <w:rsid w:val="006A0B87"/>
    <w:rsid w:val="006B3942"/>
    <w:rsid w:val="006B7DC6"/>
    <w:rsid w:val="006C3914"/>
    <w:rsid w:val="006C4D4C"/>
    <w:rsid w:val="006D3648"/>
    <w:rsid w:val="006D6B23"/>
    <w:rsid w:val="006F6D50"/>
    <w:rsid w:val="006F7D4A"/>
    <w:rsid w:val="00717E8A"/>
    <w:rsid w:val="0074184E"/>
    <w:rsid w:val="00743829"/>
    <w:rsid w:val="00755F8D"/>
    <w:rsid w:val="007808A7"/>
    <w:rsid w:val="007855AE"/>
    <w:rsid w:val="00796503"/>
    <w:rsid w:val="007B0CB6"/>
    <w:rsid w:val="007D2BDA"/>
    <w:rsid w:val="007D56C8"/>
    <w:rsid w:val="007E3934"/>
    <w:rsid w:val="007E7303"/>
    <w:rsid w:val="008212A0"/>
    <w:rsid w:val="00837F53"/>
    <w:rsid w:val="00862DDC"/>
    <w:rsid w:val="008A15FC"/>
    <w:rsid w:val="008D1750"/>
    <w:rsid w:val="008D7800"/>
    <w:rsid w:val="008E2910"/>
    <w:rsid w:val="008E4913"/>
    <w:rsid w:val="00900464"/>
    <w:rsid w:val="0090100E"/>
    <w:rsid w:val="00912904"/>
    <w:rsid w:val="00922249"/>
    <w:rsid w:val="0093767E"/>
    <w:rsid w:val="00972A02"/>
    <w:rsid w:val="0099517C"/>
    <w:rsid w:val="009A0937"/>
    <w:rsid w:val="009B2ECD"/>
    <w:rsid w:val="009B7914"/>
    <w:rsid w:val="009F430B"/>
    <w:rsid w:val="00A160B2"/>
    <w:rsid w:val="00A16271"/>
    <w:rsid w:val="00A219FB"/>
    <w:rsid w:val="00A566E7"/>
    <w:rsid w:val="00A630BF"/>
    <w:rsid w:val="00A73B25"/>
    <w:rsid w:val="00A940D3"/>
    <w:rsid w:val="00A96FCA"/>
    <w:rsid w:val="00AA4BE8"/>
    <w:rsid w:val="00AB1EE3"/>
    <w:rsid w:val="00AB750A"/>
    <w:rsid w:val="00AC0AAB"/>
    <w:rsid w:val="00AC7BA9"/>
    <w:rsid w:val="00B0425E"/>
    <w:rsid w:val="00B26886"/>
    <w:rsid w:val="00B84A87"/>
    <w:rsid w:val="00B900E2"/>
    <w:rsid w:val="00B9118E"/>
    <w:rsid w:val="00BB0DBA"/>
    <w:rsid w:val="00BD6115"/>
    <w:rsid w:val="00BD684A"/>
    <w:rsid w:val="00BE0F0E"/>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E02B50"/>
    <w:rsid w:val="00E03F11"/>
    <w:rsid w:val="00E06DC8"/>
    <w:rsid w:val="00E220B5"/>
    <w:rsid w:val="00E2344F"/>
    <w:rsid w:val="00E33D93"/>
    <w:rsid w:val="00E609EF"/>
    <w:rsid w:val="00E8111D"/>
    <w:rsid w:val="00E8515B"/>
    <w:rsid w:val="00E90AFF"/>
    <w:rsid w:val="00EA0AE0"/>
    <w:rsid w:val="00EC70CD"/>
    <w:rsid w:val="00EF2F91"/>
    <w:rsid w:val="00F017FA"/>
    <w:rsid w:val="00F22AA0"/>
    <w:rsid w:val="00F33EE3"/>
    <w:rsid w:val="00F4213B"/>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4</cp:revision>
  <cp:lastPrinted>2007-07-12T09:53:00Z</cp:lastPrinted>
  <dcterms:created xsi:type="dcterms:W3CDTF">2022-09-08T08:20:00Z</dcterms:created>
  <dcterms:modified xsi:type="dcterms:W3CDTF">2022-09-22T11:57:00Z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